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«Русский язык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r>
        <w:trPr>
          <w:trHeight w:hRule="exact" w:val="621.6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форм и средств педагогической деятельности в зависимости  от  контекста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  с учетом результатов научных исследований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58.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«Русский язык в профессиональной сфере»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УК-4, ОПК-2, ОПК-8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62.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882.4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left"/>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left"/>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left"/>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left"/>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left"/>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left"/>
              <w:spacing w:after="0" w:line="240" w:lineRule="auto"/>
              <w:rPr>
                <w:sz w:val="24"/>
                <w:szCs w:val="24"/>
              </w:rPr>
            </w:pPr>
            <w:r>
              <w:rPr>
                <w:rFonts w:ascii="Times New Roman" w:hAnsi="Times New Roman" w:cs="Times New Roman"/>
                <w:color w:val="#000000"/>
                <w:sz w:val="24"/>
                <w:szCs w:val="24"/>
              </w:rPr>
              <w:t> 3.Динамика конфликта.</w:t>
            </w:r>
          </w:p>
          <w:p>
            <w:pPr>
              <w:jc w:val="left"/>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2024-2025_ФГОС3++2024_Маг-ЗФО-ПО(Иннов)(24)_plx_Русский язык в профессиональной сфере_Инновации в высшем образовании</dc:title>
  <dc:creator>FastReport.NET</dc:creator>
</cp:coreProperties>
</file>